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99 vom 7. Juni 2022</w:t>
      </w:r>
    </w:p>
    <w:p>
      <w:r>
        <w:t>VS Kantonsgericht, 2022-06-07, FR</w:t>
      </w:r>
    </w:p>
    <w:p>
      <w:r>
        <w:rPr>
          <w:b/>
        </w:rPr>
        <w:t xml:space="preserve">Quelle: </w:t>
      </w:r>
      <w:r>
        <w:t>https://mcp.opencaselaw.ch/entscheid/vs_gerichte_C1 22 99</w:t>
      </w:r>
    </w:p>
    <w:p>
      <w:r>
        <w:t>FR: VS_GERICHTE C1 22 99 du 7 juin 2022</w:t>
      </w:r>
    </w:p>
    <w:p>
      <w:r>
        <w:t>IT: VS_GERICHTE C1 22 99 del 7 giugno 2022</w:t>
      </w:r>
    </w:p>
    <w:p>
      <w:pPr>
        <w:pStyle w:val="Heading2"/>
      </w:pPr>
      <w:r>
        <w:t>Regeste</w:t>
      </w:r>
    </w:p>
    <w:p>
      <w:r>
        <w:t>C1 22 99 ARRÊT DU 7 JUIN 2022 Tribunal cantonal du Valais Autorité de recours en matière de protection de l'enfant et de l'adulte Camille Rey-Mermet, présidente ; Malika Hofer, greffière en la cause W _________, recourant, représenté par Maître Aba Neeman, avocat à Monthey concernant X _________ et Y _________, tous deux représentés par leur tuteur, Z _________, Service officiel de la curatelle. (droit aux relations personnelles en faveur d’un tiers) recours contre la décision rendue le 1er mars 2022 par l’autorité intercommunale de protection de l’enfant et de l’adulte de Sion et Région</w:t>
      </w:r>
    </w:p>
    <w:p>
      <w:pPr>
        <w:pStyle w:val="Heading2"/>
      </w:pPr>
      <w:r>
        <w:t>Erwägungen</w:t>
      </w:r>
    </w:p>
    <w:p>
      <w:r>
        <w:rPr>
          <w:b/>
        </w:rPr>
        <w:t>E. 1.1</w:t>
      </w:r>
    </w:p>
    <w:p>
      <w:r>
        <w:t>L’art. 450 al. 1 CC, applicable par analogie (cf. art. 314 al. 1 CC et 117 al. 1 LACC), prescrit que les décisions de l’autorité de protection peuvent faire l’objet d’un recours devant le juge compétent. Ont notamment qualité pour recourir les personnes parties à la procédure (art. 450 al. 2 ch. 1 CC). Le délai de recours est de trente jours à compter de la notification de la décision (art. 450b al. 1 CC). Le recours doit être dûment motivé et interjeté par écrit auprès du juge (art. 450 al. 3 CC). Le Tribunal cantonal est compétent pour connaître des recours formés contre les décisions de l’autorité de protection (art. 114 al. 1 let. c ch. 4 et 114 al. 2 LACC), lesquels peuvent être traités par un juge unique (art. 114 al. 2 LACC).</w:t>
      </w:r>
    </w:p>
    <w:p>
      <w:r>
        <w:rPr>
          <w:b/>
        </w:rPr>
        <w:t>E. 1.2</w:t>
      </w:r>
    </w:p>
    <w:p>
      <w:r>
        <w:t>En l’espèce, W _________, par l’intermédiaire de son mandataire, a interjeté recours le 11 avril 2022 devant le Tribunal cantonal, soit dans le délai de trente jours suivant la notification de la décision contestée, intervenue le 10 mars 2022 au plus tôt, compte tenu du report au prochain jour ouvrable (art. 142 al. 3 CPC). Le recourant dispose par ailleurs de la qualité pour recourir, en tant que destinataire de la décision entreprise. Le recours est dès lors recevable.</w:t>
      </w:r>
    </w:p>
    <w:p>
      <w:r>
        <w:rPr>
          <w:b/>
        </w:rPr>
        <w:t>E. 2</w:t>
      </w:r>
    </w:p>
    <w:p>
      <w:r>
        <w:t>Dans son mémoire du 11 avril 2022, le recourant a requis, en sus de son propre interrogatoire, l’audition des époux C/D _________, ainsi que l’édition du dossier de la cause par l’APEA et l’édition du dossier du SPM.</w:t>
      </w:r>
    </w:p>
    <w:p>
      <w:r>
        <w:rPr>
          <w:b/>
        </w:rPr>
        <w:t>E. 2.1</w:t>
      </w:r>
    </w:p>
    <w:p>
      <w:r>
        <w:t>Comme l’autorité de première instance, l’autorité de recours établit les faits d’office et procède à la recherche et à l’administration des preuves nécessaires. Elle n’est pas liée par les conclusions des parties (art. 446 CC). L’autorité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les références).</w:t>
      </w:r>
    </w:p>
    <w:p>
      <w:r>
        <w:t>- 6 -</w:t>
      </w:r>
    </w:p>
    <w:p>
      <w:r>
        <w:rPr>
          <w:b/>
        </w:rPr>
        <w:t>E. 2.2</w:t>
      </w:r>
    </w:p>
    <w:p>
      <w:r>
        <w:t>En l’occurrence, l’édition du dossier de l’APEA, lequel comprend le dossier ouvert auprès du SPM, a été ordonné d’office par le Tribunal cantonal, de sorte qu’il n’y a pas lieu d’y revenir. En ce qui concerne la demande d’audition des époux C/D _________, leur point de vue ressortant des nombreuses écritures figurant au dossier de la cause, elle doit être rejetée. Il en va de même de celle concernant l’interrogatoire du recourant, celui-ci ayant été entendu par l’autorité précédente et n’ayant pas fait valoir de faits nouveaux qui pourraient nécessiter une répétition de cet interrogatoire.</w:t>
      </w:r>
    </w:p>
    <w:p>
      <w:r>
        <w:rPr>
          <w:b/>
        </w:rPr>
        <w:t>E. 3</w:t>
      </w:r>
    </w:p>
    <w:p>
      <w:r>
        <w:t>Dans la décision attaquée, l’APEA a refusé d’instituer un droit aux relations personnelles sur les enfants X _________ et Y _________ en faveur du recourant au motif que les conditions de l’art. 274a CC n’étaient pas satisfaites. Selon l’autorité, le lien qui existait entre les enfants et leur famille d’accueil initiale, y compris le recourant, est rompu depuis de nombreux mois et il n’y a pas d’intérêt pour les enfants à renouer un contact avec cet ancien environnement, d’autant plus si ce contact n’est pas destiné à perdurer.</w:t>
      </w:r>
    </w:p>
    <w:p>
      <w:r>
        <w:rPr>
          <w:b/>
        </w:rPr>
        <w:t>E. 4</w:t>
      </w:r>
    </w:p>
    <w:p>
      <w:r>
        <w:t>Le recourant se plaint principalement d’une violation de l’art. 274a CC. A l’en croire, l’APEA a méconnu l’importance et la nature du lien qu’il a tissé en sa qualité de parrain avec les enfants X _________ et Y _________. L’autorité n’a de plus pas tenu compte de l’intérêt des enfants X _________ et Y _________ à conserver un contact avec leur parrain, avec qui ils ont déjà partagé des moments importants et qui est une « personne neutre » de l’entourage de leur ancienne famille d’accueil, chez qui il est plus que probable qu’ils seront à terme replacés. Enfin, l’APEA a échoué à démontrer l’existence d’une mise en danger concrète des enfants.</w:t>
      </w:r>
    </w:p>
    <w:p>
      <w:r>
        <w:rPr>
          <w:b/>
        </w:rPr>
        <w:t>E. 4.1</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Le cercle des tiers concernés est cependant plus large et s'étend aussi bien dans la sphère de parenté de l'enfant qu'à l'extérieur de celle-ci (ATF 147 III 209 consid.</w:t>
      </w:r>
    </w:p>
    <w:p>
      <w:r>
        <w:rPr>
          <w:b/>
        </w:rPr>
        <w:t>E. 4.2</w:t>
      </w:r>
    </w:p>
    <w:p>
      <w:r>
        <w:t>En l’espèce, le recourant se contente d’alléguer sa qualité de parrain des jumeaux, qu’il n’a d’ailleurs pas établie en produisant le certificat de baptême, ainsi que les visites qu’il aurait rendues chaque semaine à la famille C/D _________ pour justifier de l’existence d’une relation particulièrement étroite avec les enfants. Ce faisant, le recourant, qui perd de vue qu’un droit aux relations personnelles n’est reconnu en faveur d’un tiers qu’exceptionnellement, n’apporte aucun élément concret tendant à prouver qu’une telle relation s’est bel et bien établie entre lui et les enfants. En effet, la seule qualité de parrain ne signifie pas nécessairement qu’un lien particulier s’est noué entre le recourant et les enfants qui, rappelons-le, n’étaient âgés que d’une année au moment du dernier contact. Il en va de même des visites hebdomadaires que le recourant aurait rendues à la famille C/D _________, visites dont il n’a du reste pas non plus démontré l’existence. En particulier, le recourant n’allègue pas ni n’établit avoir pris en charge les enfants X _________ et Y _________ ou avoir assumé par le passé d’autres tâches de nature parentale qui pourraient s’avérer propres à fonder un lien particulier avec eux. Qu’il s’y soit engagé, à l’avenir en cas de besoin, en tant que parrain, est certes admirable mais ne compense pas l’absence d’une relation particulière et effective à</w:t>
      </w:r>
    </w:p>
    <w:p>
      <w:r>
        <w:t>- 8 - l’époque du placement chez la famille C/D _________ ; c’est en effet à l’aune des circonstances concrètes, et non seulement possibles ou envisageables, que doit être appréciée si une relation particulièrement étroite s’est instaurée. Or, dans le présent cas, ni les allégations du recourant, qui a attendu plus de quatre mois avant de requérir un droit de visite, ni le dossier de l’APEA, ne permettent de considérer qu’une relation satisfaisant aux conditions de l’art. 274a CC lie les jumeaux au recourant. A cela s’ajoute le fait que le recourant n’a plus revu les enfants depuis la modification de leur placement en août 2021, soit il y a près de dix mois. Ce laps de temps est particulièrement long au vu de l’âge des enfants, le recourant admettant lui-même qu’il ne sait pas s’il leur manque ou même s’ils le reconnaîtraient. L’on ne saurait ainsi suivre le recourant qui prétend que la présente situation est « similaire à celle d’un vide [laissé] durant l’absence prolongée d’un parent », puisque précisément, le contact avec les enfants est rompu. De plus, l’on peine à voir en quoi rétablir la relation qu’ils avaient avec le recourant, dont on ne peut retenir qu’elle ait été particulièrement étroite, peut servir l’intérêt des enfants X _________ et Y _________. Le recourant, interpelé à ce sujet, n’a pas été en mesure de répondre à cette question autrement que par l’appréciation, personnelle et subjective, selon laquelle les enfants étaient bien avec la famille C/D _________. De l’avis de la pédopsychiatre des enfants, renouer un contact dont on ne peut, à l’heure actuelle, prédire s’il pourra ou non se perpétuer, risque au contraire de leur porter préjudice. Ainsi, sans préjuger de l’issue de la procédure d’adoption ou de la possibilité d’un éventuel nouveau placement chez la famille C/D _________, les circonstances actuelles et concrètes du cas d’espèce ne permettent pas de retenir que l’institution d’un droit de visite en faveur du recourant sert positivement le bien des enfants X _________ et Y _________, la simple absence d’une mise en danger des enfants n’étant à cet égard pas suffisante. L’on précisera finalement que le recourant ne pouvant démontrer l’existence d’une relation particulière avec les enfants X _________ et Y _________, il n’y a pas lieu d’assouplir des conditions de l’art. 274a CC, comme l’envisage la doctrine en présence d’un parent « social » notamment (cf. MEIER/STETTLER, op. cit., N 981 p. 632), sous peine de violer à la fois l’esprit et la lettre de cette disposition.</w:t>
      </w:r>
    </w:p>
    <w:p>
      <w:r>
        <w:rPr>
          <w:b/>
        </w:rPr>
        <w:t>E. 4.3</w:t>
      </w:r>
    </w:p>
    <w:p>
      <w:r>
        <w:t>Eu égard à ce qui précède, il faut constater, avec l’APEA, que les conditions permettant d’octroyer un droit aux relations personnelles à un tiers ne sont pas réunies dans le présent cas. Partant, l’autorité précédente n’a pas violé l’art. 274a CC en refusant au recourant un droit de visite sur les enfants X _________ et Y _________.</w:t>
      </w:r>
    </w:p>
    <w:p>
      <w:r>
        <w:t>- 9 -</w:t>
      </w:r>
    </w:p>
    <w:p>
      <w:r>
        <w:rPr>
          <w:b/>
        </w:rPr>
        <w:t>E. 5</w:t>
      </w:r>
    </w:p>
    <w:p>
      <w:r>
        <w:t>Le recourant reproche également à l’autorité précédente d’avoir fait preuve d’arbitraire en fondant sa décision sur des considérations liées à la naissance des enfants X _________ et Y _________ et aux « vices » des procédures d’adoption par les époux C/D _________ les concernant.</w:t>
      </w:r>
    </w:p>
    <w:p>
      <w:r>
        <w:rPr>
          <w:b/>
        </w:rPr>
        <w:t>E. 5.1</w:t>
      </w:r>
    </w:p>
    <w:p>
      <w:r>
        <w:t>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 il faut encore que cette décision soit arbitraire dans son résultat (ATF 144 I 318 c. 5.4 et les références).</w:t>
      </w:r>
    </w:p>
    <w:p>
      <w:r>
        <w:rPr>
          <w:b/>
        </w:rPr>
        <w:t>E. 5.2</w:t>
      </w:r>
    </w:p>
    <w:p>
      <w:r>
        <w:t>En l’espèce, bien que les circonstances entourant la conception et la modification du placement des enfants X _________ et Y _________ soient mentionnées dans la décision entreprise, rien n’indique qu’elles l’ont été à d’autres fins que seulement indicatives. Selon ladite décision, c’est en effet la rupture des liens entre le recourant et les enfants X _________ et Y _________ depuis de longs mois ainsi que l’absence d’intérêt à renouer une relation qui n’est peut-être pas destinée à perdurer qui ont été déterminantes. Cette motivation est conforme au droit et n’heurte pas le sentiment de justice. En outre, le résultat auquel est parvenu l’autorité précédente n’apparait pas comme insoutenable ; le recourant ne le prétend d’ailleurs pas.</w:t>
      </w:r>
    </w:p>
    <w:p>
      <w:r>
        <w:rPr>
          <w:b/>
        </w:rPr>
        <w:t>E. 5.3</w:t>
      </w:r>
    </w:p>
    <w:p>
      <w:r>
        <w:t>Il en résulte que ce grief doit également être écarté, le recourant échouant à démontrer le caractère arbitraire de la décision entreprise. Le recours étant ainsi rejeté sur ce point également, la décision attaquée est confirmée.</w:t>
      </w:r>
    </w:p>
    <w:p>
      <w:r>
        <w:rPr>
          <w:b/>
        </w:rPr>
        <w:t>E. 6</w:t>
      </w:r>
    </w:p>
    <w:p>
      <w:r>
        <w:t>Vu l’issue de la procédure de recours, le recourant, qui succombe, doit en supporter les frais (art. 450f CC, 188 let. a LACC et 106 al. 1 CPC). Considérant la difficulté et l’ampleur ordinaires de la cause, et compte tenu des principes de couverture des frais et d’équivalence des prestations (art. 13 LTar), l’émolument forfaitaire de décision est arrêté à 500 fr. (art. 18 et 19 LTar).</w:t>
      </w:r>
    </w:p>
    <w:p>
      <w:r>
        <w:t>- 10 - Prononce</w:t>
      </w:r>
    </w:p>
    <w:p>
      <w:r>
        <w:t>1. Le recours est rejeté et la décision de l’autorité intercommunale de protection de l’enfant et de l’adulte de Sion et Région du 1er mars 2022 est confirmée. 2. Les frais, par 500 fr., sont mis à la charge de W _________.</w:t>
      </w:r>
    </w:p>
    <w:p>
      <w:r>
        <w:t>Sion, le 7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